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012457F2" w:rsidR="00815FCF" w:rsidRPr="00D06620" w:rsidRDefault="000007CB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WEST BRETTON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1D7C055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050529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598546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B919E5">
              <w:rPr>
                <w:rFonts w:eastAsia="Times New Roman" w:cs="Arial"/>
                <w:b/>
                <w:sz w:val="18"/>
                <w:szCs w:val="18"/>
              </w:rPr>
              <w:t xml:space="preserve">: Tuesday </w:t>
            </w:r>
            <w:r w:rsidR="00092882">
              <w:rPr>
                <w:rFonts w:eastAsia="Times New Roman" w:cs="Arial"/>
                <w:b/>
                <w:sz w:val="18"/>
                <w:szCs w:val="18"/>
              </w:rPr>
              <w:t>14 May 2024</w:t>
            </w:r>
            <w:r w:rsidR="00092882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092882">
              <w:rPr>
                <w:rFonts w:eastAsia="Times New Roman" w:cs="Arial"/>
                <w:b/>
                <w:sz w:val="18"/>
                <w:szCs w:val="18"/>
              </w:rPr>
              <w:tab/>
            </w:r>
            <w:r w:rsidR="00092882">
              <w:rPr>
                <w:rFonts w:eastAsia="Times New Roman" w:cs="Arial"/>
                <w:b/>
                <w:sz w:val="18"/>
                <w:szCs w:val="18"/>
              </w:rPr>
              <w:tab/>
              <w:t xml:space="preserve">           </w:t>
            </w:r>
            <w:proofErr w:type="gramStart"/>
            <w:r w:rsidR="00092882">
              <w:rPr>
                <w:rFonts w:eastAsia="Times New Roman" w:cs="Arial"/>
                <w:b/>
                <w:sz w:val="18"/>
                <w:szCs w:val="18"/>
              </w:rPr>
              <w:t xml:space="preserve">   (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75AB34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05E205D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2B2783">
              <w:rPr>
                <w:rFonts w:eastAsia="Times New Roman" w:cs="Arial"/>
                <w:sz w:val="18"/>
                <w:szCs w:val="18"/>
              </w:rPr>
              <w:t>Mrs Sue Earnshaw</w:t>
            </w:r>
            <w:r w:rsidR="0086359A">
              <w:rPr>
                <w:rFonts w:eastAsia="Times New Roman" w:cs="Arial"/>
                <w:sz w:val="18"/>
                <w:szCs w:val="18"/>
              </w:rPr>
              <w:t>, Clerk and RFO</w:t>
            </w:r>
          </w:p>
          <w:p w14:paraId="3F7C16DF" w14:textId="568CD65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86359A">
              <w:rPr>
                <w:rFonts w:eastAsia="Times New Roman" w:cs="Arial"/>
                <w:sz w:val="18"/>
                <w:szCs w:val="18"/>
              </w:rPr>
              <w:t>07962 722642</w:t>
            </w:r>
          </w:p>
          <w:p w14:paraId="16864A92" w14:textId="6F99DBB8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86359A">
              <w:rPr>
                <w:rFonts w:eastAsia="Times New Roman" w:cs="Arial"/>
                <w:sz w:val="18"/>
                <w:szCs w:val="18"/>
              </w:rPr>
              <w:t>westbrettonpc@gmail.com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0196486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 w:rsidR="000007C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85159B3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68DDD7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D54BD">
              <w:rPr>
                <w:rFonts w:eastAsia="Times New Roman" w:cs="Arial"/>
                <w:b/>
                <w:sz w:val="18"/>
                <w:szCs w:val="18"/>
              </w:rPr>
              <w:t>Sue Earnshaw, Responsible Financial Officer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3F371A">
      <w:pPr>
        <w:spacing w:line="240" w:lineRule="auto"/>
        <w:jc w:val="left"/>
      </w:pPr>
    </w:p>
    <w:sectPr w:rsidR="00500F4D" w:rsidSect="005A2595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07CB"/>
    <w:rsid w:val="0000128B"/>
    <w:rsid w:val="00006D80"/>
    <w:rsid w:val="00050529"/>
    <w:rsid w:val="00092882"/>
    <w:rsid w:val="000C3753"/>
    <w:rsid w:val="000D3EA4"/>
    <w:rsid w:val="001452B6"/>
    <w:rsid w:val="001710FE"/>
    <w:rsid w:val="001B612F"/>
    <w:rsid w:val="00270726"/>
    <w:rsid w:val="002B2783"/>
    <w:rsid w:val="002C651C"/>
    <w:rsid w:val="0036216F"/>
    <w:rsid w:val="003834F0"/>
    <w:rsid w:val="003A4842"/>
    <w:rsid w:val="003D194A"/>
    <w:rsid w:val="003F371A"/>
    <w:rsid w:val="00414553"/>
    <w:rsid w:val="00500F4D"/>
    <w:rsid w:val="0050557D"/>
    <w:rsid w:val="00525DAA"/>
    <w:rsid w:val="00566343"/>
    <w:rsid w:val="005869A8"/>
    <w:rsid w:val="005A2595"/>
    <w:rsid w:val="005A520D"/>
    <w:rsid w:val="005D54BD"/>
    <w:rsid w:val="006074C4"/>
    <w:rsid w:val="00755ED8"/>
    <w:rsid w:val="00790237"/>
    <w:rsid w:val="007E5617"/>
    <w:rsid w:val="007E7850"/>
    <w:rsid w:val="008005C3"/>
    <w:rsid w:val="00805A33"/>
    <w:rsid w:val="00815FCF"/>
    <w:rsid w:val="00853A4F"/>
    <w:rsid w:val="0086359A"/>
    <w:rsid w:val="008D19EA"/>
    <w:rsid w:val="00921065"/>
    <w:rsid w:val="009446DA"/>
    <w:rsid w:val="009C2C09"/>
    <w:rsid w:val="00A92717"/>
    <w:rsid w:val="00AE3E86"/>
    <w:rsid w:val="00B53912"/>
    <w:rsid w:val="00B919E5"/>
    <w:rsid w:val="00BB289B"/>
    <w:rsid w:val="00C551EB"/>
    <w:rsid w:val="00C644E5"/>
    <w:rsid w:val="00D161D4"/>
    <w:rsid w:val="00D5498D"/>
    <w:rsid w:val="00D94653"/>
    <w:rsid w:val="00E70583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West Bretton Parish Council</cp:lastModifiedBy>
  <cp:revision>2</cp:revision>
  <cp:lastPrinted>2024-05-09T19:41:00Z</cp:lastPrinted>
  <dcterms:created xsi:type="dcterms:W3CDTF">2024-05-14T21:48:00Z</dcterms:created>
  <dcterms:modified xsi:type="dcterms:W3CDTF">2024-05-14T21:48:00Z</dcterms:modified>
</cp:coreProperties>
</file>